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640"/>
      </w:tblGrid>
      <w:tr w:rsidR="00FE0796" w:rsidRPr="00FE0796" w:rsidTr="00FE0796">
        <w:trPr>
          <w:trHeight w:val="750"/>
          <w:tblCellSpacing w:w="0" w:type="dxa"/>
        </w:trPr>
        <w:tc>
          <w:tcPr>
            <w:tcW w:w="0" w:type="auto"/>
            <w:tcBorders>
              <w:top w:val="nil"/>
              <w:left w:val="nil"/>
              <w:bottom w:val="nil"/>
              <w:right w:val="nil"/>
            </w:tcBorders>
            <w:tcMar>
              <w:top w:w="30" w:type="dxa"/>
              <w:left w:w="0" w:type="dxa"/>
              <w:bottom w:w="0" w:type="dxa"/>
              <w:right w:w="0" w:type="dxa"/>
            </w:tcMar>
            <w:vAlign w:val="center"/>
            <w:hideMark/>
          </w:tcPr>
          <w:p w:rsidR="00FE0796" w:rsidRPr="00FE0796" w:rsidRDefault="00FE0796" w:rsidP="00FE0796">
            <w:pPr>
              <w:spacing w:after="0" w:line="450" w:lineRule="atLeast"/>
              <w:jc w:val="center"/>
              <w:rPr>
                <w:rFonts w:ascii="宋体" w:eastAsia="宋体" w:hAnsi="宋体" w:cs="Times New Roman"/>
                <w:b/>
                <w:bCs/>
                <w:color w:val="000000"/>
                <w:sz w:val="38"/>
                <w:szCs w:val="38"/>
              </w:rPr>
            </w:pPr>
            <w:r w:rsidRPr="00FE0796">
              <w:rPr>
                <w:rFonts w:ascii="宋体" w:eastAsia="宋体" w:hAnsi="宋体" w:cs="Times New Roman" w:hint="eastAsia"/>
                <w:b/>
                <w:bCs/>
                <w:color w:val="000000"/>
                <w:sz w:val="38"/>
                <w:szCs w:val="38"/>
              </w:rPr>
              <w:t>关于印发部分产能严重过剩行业产能置换实施办法的通知</w:t>
            </w:r>
          </w:p>
        </w:tc>
      </w:tr>
      <w:tr w:rsidR="00FE0796" w:rsidRPr="00FE0796" w:rsidTr="00FE0796">
        <w:trPr>
          <w:trHeight w:val="450"/>
          <w:tblCellSpacing w:w="0" w:type="dxa"/>
        </w:trPr>
        <w:tc>
          <w:tcPr>
            <w:tcW w:w="0" w:type="auto"/>
            <w:tcBorders>
              <w:top w:val="nil"/>
              <w:left w:val="nil"/>
              <w:bottom w:val="nil"/>
              <w:right w:val="nil"/>
            </w:tcBorders>
            <w:vAlign w:val="center"/>
            <w:hideMark/>
          </w:tcPr>
          <w:tbl>
            <w:tblPr>
              <w:tblW w:w="4800" w:type="pct"/>
              <w:jc w:val="center"/>
              <w:tblCellSpacing w:w="0" w:type="dxa"/>
              <w:tblBorders>
                <w:top w:val="dashed" w:sz="6" w:space="0" w:color="CCCCCC"/>
                <w:left w:val="dashed" w:sz="6" w:space="0" w:color="CCCCCC"/>
                <w:bottom w:val="dashed" w:sz="6" w:space="0" w:color="CCCCCC"/>
                <w:right w:val="dashed" w:sz="6" w:space="0" w:color="CCCCCC"/>
              </w:tblBorders>
              <w:tblCellMar>
                <w:left w:w="0" w:type="dxa"/>
                <w:right w:w="0" w:type="dxa"/>
              </w:tblCellMar>
              <w:tblLook w:val="04A0" w:firstRow="1" w:lastRow="0" w:firstColumn="1" w:lastColumn="0" w:noHBand="0" w:noVBand="1"/>
            </w:tblPr>
            <w:tblGrid>
              <w:gridCol w:w="8294"/>
            </w:tblGrid>
            <w:tr w:rsidR="00FE0796" w:rsidRPr="00FE0796">
              <w:trPr>
                <w:trHeight w:val="345"/>
                <w:tblCellSpacing w:w="0" w:type="dxa"/>
                <w:jc w:val="center"/>
              </w:trPr>
              <w:tc>
                <w:tcPr>
                  <w:tcW w:w="0" w:type="auto"/>
                  <w:tcBorders>
                    <w:top w:val="nil"/>
                    <w:left w:val="nil"/>
                    <w:bottom w:val="nil"/>
                    <w:right w:val="nil"/>
                  </w:tcBorders>
                  <w:tcMar>
                    <w:top w:w="0" w:type="dxa"/>
                    <w:left w:w="0" w:type="dxa"/>
                    <w:bottom w:w="30" w:type="dxa"/>
                    <w:right w:w="0" w:type="dxa"/>
                  </w:tcMar>
                  <w:vAlign w:val="center"/>
                  <w:hideMark/>
                </w:tcPr>
                <w:p w:rsidR="00FE0796" w:rsidRPr="00FE0796" w:rsidRDefault="00FE0796" w:rsidP="00FE0796">
                  <w:pPr>
                    <w:spacing w:after="0" w:line="225" w:lineRule="atLeast"/>
                    <w:jc w:val="center"/>
                    <w:rPr>
                      <w:rFonts w:ascii="宋体" w:eastAsia="宋体" w:hAnsi="宋体" w:cs="Times New Roman" w:hint="eastAsia"/>
                      <w:color w:val="C60000"/>
                      <w:sz w:val="18"/>
                      <w:szCs w:val="18"/>
                    </w:rPr>
                  </w:pPr>
                  <w:r w:rsidRPr="00FE0796">
                    <w:rPr>
                      <w:rFonts w:ascii="宋体" w:eastAsia="宋体" w:hAnsi="宋体" w:cs="Times New Roman" w:hint="eastAsia"/>
                      <w:color w:val="C60000"/>
                      <w:sz w:val="18"/>
                      <w:szCs w:val="18"/>
                    </w:rPr>
                    <w:t>【发布时间：2015年04月28日 】 【来源：产业政策司】 【字体：</w:t>
                  </w:r>
                  <w:hyperlink r:id="rId6" w:history="1">
                    <w:r w:rsidRPr="00FE0796">
                      <w:rPr>
                        <w:rFonts w:ascii="宋体" w:eastAsia="宋体" w:hAnsi="宋体" w:cs="Times New Roman" w:hint="eastAsia"/>
                        <w:color w:val="0000FF"/>
                        <w:sz w:val="18"/>
                        <w:szCs w:val="18"/>
                        <w:u w:val="single"/>
                        <w:bdr w:val="none" w:sz="0" w:space="0" w:color="auto" w:frame="1"/>
                      </w:rPr>
                      <w:t>大</w:t>
                    </w:r>
                  </w:hyperlink>
                  <w:r w:rsidRPr="00FE0796">
                    <w:rPr>
                      <w:rFonts w:ascii="宋体" w:eastAsia="宋体" w:hAnsi="宋体" w:cs="Times New Roman" w:hint="eastAsia"/>
                      <w:color w:val="C60000"/>
                      <w:sz w:val="18"/>
                      <w:szCs w:val="18"/>
                    </w:rPr>
                    <w:t> </w:t>
                  </w:r>
                  <w:hyperlink r:id="rId7" w:history="1">
                    <w:r w:rsidRPr="00FE0796">
                      <w:rPr>
                        <w:rFonts w:ascii="宋体" w:eastAsia="宋体" w:hAnsi="宋体" w:cs="Times New Roman" w:hint="eastAsia"/>
                        <w:color w:val="0000FF"/>
                        <w:sz w:val="18"/>
                        <w:szCs w:val="18"/>
                        <w:u w:val="single"/>
                        <w:bdr w:val="none" w:sz="0" w:space="0" w:color="auto" w:frame="1"/>
                      </w:rPr>
                      <w:t>中</w:t>
                    </w:r>
                  </w:hyperlink>
                  <w:r w:rsidRPr="00FE0796">
                    <w:rPr>
                      <w:rFonts w:ascii="宋体" w:eastAsia="宋体" w:hAnsi="宋体" w:cs="Times New Roman" w:hint="eastAsia"/>
                      <w:color w:val="C60000"/>
                      <w:sz w:val="18"/>
                      <w:szCs w:val="18"/>
                    </w:rPr>
                    <w:t> </w:t>
                  </w:r>
                  <w:hyperlink r:id="rId8" w:history="1">
                    <w:r w:rsidRPr="00FE0796">
                      <w:rPr>
                        <w:rFonts w:ascii="宋体" w:eastAsia="宋体" w:hAnsi="宋体" w:cs="Times New Roman" w:hint="eastAsia"/>
                        <w:color w:val="0000FF"/>
                        <w:sz w:val="18"/>
                        <w:szCs w:val="18"/>
                        <w:u w:val="single"/>
                        <w:bdr w:val="none" w:sz="0" w:space="0" w:color="auto" w:frame="1"/>
                      </w:rPr>
                      <w:t>小</w:t>
                    </w:r>
                  </w:hyperlink>
                  <w:r w:rsidRPr="00FE0796">
                    <w:rPr>
                      <w:rFonts w:ascii="宋体" w:eastAsia="宋体" w:hAnsi="宋体" w:cs="Times New Roman" w:hint="eastAsia"/>
                      <w:color w:val="C60000"/>
                      <w:sz w:val="18"/>
                      <w:szCs w:val="18"/>
                    </w:rPr>
                    <w:t>】</w:t>
                  </w:r>
                </w:p>
              </w:tc>
            </w:tr>
          </w:tbl>
          <w:p w:rsidR="00FE0796" w:rsidRPr="00FE0796" w:rsidRDefault="00FE0796" w:rsidP="00FE0796">
            <w:pPr>
              <w:spacing w:after="0" w:line="360" w:lineRule="atLeast"/>
              <w:jc w:val="center"/>
              <w:rPr>
                <w:rFonts w:ascii="宋体" w:eastAsia="宋体" w:hAnsi="宋体" w:cs="Times New Roman" w:hint="eastAsia"/>
                <w:color w:val="000000"/>
                <w:sz w:val="18"/>
                <w:szCs w:val="18"/>
              </w:rPr>
            </w:pPr>
          </w:p>
        </w:tc>
      </w:tr>
      <w:tr w:rsidR="00FE0796" w:rsidRPr="00FE0796" w:rsidTr="00FE0796">
        <w:trPr>
          <w:tblCellSpacing w:w="0" w:type="dxa"/>
        </w:trPr>
        <w:tc>
          <w:tcPr>
            <w:tcW w:w="0" w:type="auto"/>
            <w:tcBorders>
              <w:top w:val="nil"/>
              <w:left w:val="nil"/>
              <w:bottom w:val="nil"/>
              <w:right w:val="nil"/>
            </w:tcBorders>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76"/>
            </w:tblGrid>
            <w:tr w:rsidR="00FE0796" w:rsidRPr="00FE0796">
              <w:trPr>
                <w:tblCellSpacing w:w="0" w:type="dxa"/>
                <w:jc w:val="center"/>
              </w:trPr>
              <w:tc>
                <w:tcPr>
                  <w:tcW w:w="0" w:type="auto"/>
                  <w:tcBorders>
                    <w:top w:val="nil"/>
                    <w:left w:val="nil"/>
                    <w:bottom w:val="nil"/>
                    <w:right w:val="nil"/>
                  </w:tcBorders>
                  <w:vAlign w:val="center"/>
                  <w:hideMark/>
                </w:tcPr>
                <w:p w:rsidR="00FE0796" w:rsidRPr="00FE0796" w:rsidRDefault="00FE0796" w:rsidP="00FE0796">
                  <w:pPr>
                    <w:spacing w:after="0" w:line="375" w:lineRule="atLeast"/>
                    <w:rPr>
                      <w:rFonts w:ascii="宋体" w:eastAsia="宋体" w:hAnsi="宋体" w:cs="Times New Roman"/>
                      <w:color w:val="000000"/>
                      <w:sz w:val="21"/>
                      <w:szCs w:val="21"/>
                    </w:rPr>
                  </w:pPr>
                  <w:r w:rsidRPr="00FE0796">
                    <w:rPr>
                      <w:rFonts w:ascii="宋体" w:eastAsia="宋体" w:hAnsi="宋体" w:cs="Times New Roman" w:hint="eastAsia"/>
                      <w:color w:val="000000"/>
                      <w:sz w:val="21"/>
                      <w:szCs w:val="21"/>
                    </w:rPr>
                    <w:t> </w:t>
                  </w:r>
                </w:p>
              </w:tc>
            </w:tr>
            <w:tr w:rsidR="00FE0796" w:rsidRPr="00FE0796">
              <w:trPr>
                <w:trHeight w:val="7500"/>
                <w:tblCellSpacing w:w="0" w:type="dxa"/>
                <w:jc w:val="center"/>
              </w:trPr>
              <w:tc>
                <w:tcPr>
                  <w:tcW w:w="0" w:type="auto"/>
                  <w:tcBorders>
                    <w:top w:val="nil"/>
                    <w:left w:val="nil"/>
                    <w:bottom w:val="nil"/>
                    <w:right w:val="nil"/>
                  </w:tcBorders>
                  <w:hideMark/>
                </w:tcPr>
                <w:p w:rsidR="00FE0796" w:rsidRPr="00FE0796" w:rsidRDefault="00FE0796" w:rsidP="00FE0796">
                  <w:pPr>
                    <w:spacing w:before="100" w:beforeAutospacing="1" w:after="100" w:afterAutospacing="1" w:line="375" w:lineRule="atLeast"/>
                    <w:jc w:val="center"/>
                    <w:rPr>
                      <w:rFonts w:ascii="宋体" w:eastAsia="宋体" w:hAnsi="宋体" w:cs="Times New Roman" w:hint="eastAsia"/>
                      <w:color w:val="000000"/>
                      <w:sz w:val="21"/>
                      <w:szCs w:val="21"/>
                    </w:rPr>
                  </w:pPr>
                  <w:r w:rsidRPr="00FE0796">
                    <w:rPr>
                      <w:rFonts w:ascii="宋体" w:eastAsia="宋体" w:hAnsi="宋体" w:cs="Times New Roman" w:hint="eastAsia"/>
                      <w:b/>
                      <w:bCs/>
                      <w:color w:val="000000"/>
                      <w:sz w:val="27"/>
                      <w:szCs w:val="27"/>
                      <w:bdr w:val="none" w:sz="0" w:space="0" w:color="auto" w:frame="1"/>
                    </w:rPr>
                    <w:t>工业和信息化部关于印发部分产能严重过剩行业产能置换实施办法的通知</w:t>
                  </w:r>
                  <w:r w:rsidRPr="00FE0796">
                    <w:rPr>
                      <w:rFonts w:ascii="宋体" w:eastAsia="宋体" w:hAnsi="宋体" w:cs="Times New Roman" w:hint="eastAsia"/>
                      <w:b/>
                      <w:bCs/>
                      <w:color w:val="000000"/>
                      <w:sz w:val="27"/>
                      <w:szCs w:val="27"/>
                      <w:bdr w:val="none" w:sz="0" w:space="0" w:color="auto" w:frame="1"/>
                    </w:rPr>
                    <w:br/>
                  </w:r>
                  <w:r w:rsidRPr="00FE0796">
                    <w:rPr>
                      <w:rFonts w:ascii="宋体" w:eastAsia="宋体" w:hAnsi="宋体" w:cs="Times New Roman" w:hint="eastAsia"/>
                      <w:color w:val="000000"/>
                      <w:sz w:val="21"/>
                      <w:szCs w:val="21"/>
                    </w:rPr>
                    <w:t>工信部产业【2015】127号</w:t>
                  </w:r>
                </w:p>
                <w:p w:rsidR="00FE0796" w:rsidRPr="00FE0796" w:rsidRDefault="00FE0796" w:rsidP="00FE0796">
                  <w:pPr>
                    <w:spacing w:before="100" w:beforeAutospacing="1" w:after="100" w:afterAutospacing="1" w:line="375" w:lineRule="atLeast"/>
                    <w:rPr>
                      <w:rFonts w:ascii="宋体" w:eastAsia="宋体" w:hAnsi="宋体" w:cs="Times New Roman" w:hint="eastAsia"/>
                      <w:color w:val="000000"/>
                      <w:sz w:val="21"/>
                      <w:szCs w:val="21"/>
                    </w:rPr>
                  </w:pPr>
                  <w:r w:rsidRPr="00FE0796">
                    <w:rPr>
                      <w:rFonts w:ascii="宋体" w:eastAsia="宋体" w:hAnsi="宋体" w:cs="Times New Roman" w:hint="eastAsia"/>
                      <w:color w:val="000000"/>
                      <w:sz w:val="21"/>
                      <w:szCs w:val="21"/>
                    </w:rPr>
                    <w:t>各省、自治区、直辖市及新疆生产建设兵团工业和信息化主管部门：</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为贯彻《国务院关于化解产能严重过剩矛盾的指导意见》（国发〔2013〕41号）和《国务院关于印发大气污染防治行动计划的通知》（国发〔2013〕37号）部署，继续做好产能等量或减量置换工作，严禁钢铁、水泥、电解铝、平板玻璃行业新增产能，现将《部分产能严重过剩行业产能置换实施办法》印发你们，请遵照执行。</w:t>
                  </w:r>
                </w:p>
                <w:p w:rsidR="00FE0796" w:rsidRPr="00FE0796" w:rsidRDefault="00FE0796" w:rsidP="00FE0796">
                  <w:pPr>
                    <w:spacing w:before="100" w:beforeAutospacing="1" w:after="100" w:afterAutospacing="1" w:line="375" w:lineRule="atLeast"/>
                    <w:jc w:val="right"/>
                    <w:rPr>
                      <w:rFonts w:ascii="宋体" w:eastAsia="宋体" w:hAnsi="宋体" w:cs="Times New Roman" w:hint="eastAsia"/>
                      <w:color w:val="000000"/>
                      <w:sz w:val="21"/>
                      <w:szCs w:val="21"/>
                    </w:rPr>
                  </w:pPr>
                  <w:r w:rsidRPr="00FE0796">
                    <w:rPr>
                      <w:rFonts w:ascii="宋体" w:eastAsia="宋体" w:hAnsi="宋体" w:cs="Times New Roman" w:hint="eastAsia"/>
                      <w:color w:val="000000"/>
                      <w:sz w:val="21"/>
                      <w:szCs w:val="21"/>
                    </w:rPr>
                    <w:t>工业和信息化部</w:t>
                  </w:r>
                  <w:r w:rsidRPr="00FE0796">
                    <w:rPr>
                      <w:rFonts w:ascii="宋体" w:eastAsia="宋体" w:hAnsi="宋体" w:cs="Times New Roman" w:hint="eastAsia"/>
                      <w:color w:val="000000"/>
                      <w:sz w:val="21"/>
                      <w:szCs w:val="21"/>
                    </w:rPr>
                    <w:br/>
                    <w:t>2015年4月20日</w:t>
                  </w:r>
                </w:p>
                <w:p w:rsidR="00FE0796" w:rsidRPr="00FE0796" w:rsidRDefault="00FE0796" w:rsidP="00FE0796">
                  <w:pPr>
                    <w:spacing w:before="100" w:beforeAutospacing="1" w:after="100" w:afterAutospacing="1" w:line="375" w:lineRule="atLeast"/>
                    <w:jc w:val="center"/>
                    <w:rPr>
                      <w:rFonts w:ascii="宋体" w:eastAsia="宋体" w:hAnsi="宋体" w:cs="Times New Roman" w:hint="eastAsia"/>
                      <w:color w:val="000000"/>
                      <w:sz w:val="21"/>
                      <w:szCs w:val="21"/>
                    </w:rPr>
                  </w:pPr>
                  <w:r w:rsidRPr="00FE0796">
                    <w:rPr>
                      <w:rFonts w:ascii="宋体" w:eastAsia="宋体" w:hAnsi="宋体" w:cs="Times New Roman" w:hint="eastAsia"/>
                      <w:b/>
                      <w:bCs/>
                      <w:color w:val="000000"/>
                      <w:sz w:val="27"/>
                      <w:szCs w:val="27"/>
                      <w:bdr w:val="none" w:sz="0" w:space="0" w:color="auto" w:frame="1"/>
                    </w:rPr>
                    <w:t>部分产能严重过剩行业产能置换实施办法</w:t>
                  </w:r>
                  <w:r w:rsidRPr="00FE0796">
                    <w:rPr>
                      <w:rFonts w:ascii="宋体" w:eastAsia="宋体" w:hAnsi="宋体" w:cs="Times New Roman" w:hint="eastAsia"/>
                      <w:b/>
                      <w:bCs/>
                      <w:color w:val="000000"/>
                      <w:sz w:val="27"/>
                      <w:szCs w:val="27"/>
                      <w:bdr w:val="none" w:sz="0" w:space="0" w:color="auto" w:frame="1"/>
                    </w:rPr>
                    <w:br/>
                  </w:r>
                  <w:r w:rsidRPr="00FE0796">
                    <w:rPr>
                      <w:rFonts w:ascii="宋体" w:eastAsia="宋体" w:hAnsi="宋体" w:cs="Times New Roman" w:hint="eastAsia"/>
                      <w:b/>
                      <w:bCs/>
                      <w:color w:val="000000"/>
                      <w:sz w:val="21"/>
                      <w:szCs w:val="21"/>
                      <w:bdr w:val="none" w:sz="0" w:space="0" w:color="auto" w:frame="1"/>
                    </w:rPr>
                    <w:t>第一章  总则</w:t>
                  </w:r>
                </w:p>
                <w:p w:rsidR="00FE0796" w:rsidRPr="00FE0796" w:rsidRDefault="00FE0796" w:rsidP="00FE0796">
                  <w:pPr>
                    <w:spacing w:before="100" w:beforeAutospacing="1" w:after="100" w:afterAutospacing="1" w:line="375" w:lineRule="atLeast"/>
                    <w:rPr>
                      <w:rFonts w:ascii="宋体" w:eastAsia="宋体" w:hAnsi="宋体" w:cs="Times New Roman" w:hint="eastAsia"/>
                      <w:color w:val="000000"/>
                      <w:sz w:val="21"/>
                      <w:szCs w:val="21"/>
                    </w:rPr>
                  </w:pPr>
                  <w:r w:rsidRPr="00FE0796">
                    <w:rPr>
                      <w:rFonts w:ascii="宋体" w:eastAsia="宋体" w:hAnsi="宋体" w:cs="Times New Roman" w:hint="eastAsia"/>
                      <w:color w:val="000000"/>
                      <w:sz w:val="21"/>
                      <w:szCs w:val="21"/>
                    </w:rPr>
                    <w:t xml:space="preserve">　　第一条  为遏制产能严重过剩行业盲目扩张，严禁新增产能，化解产能过剩矛盾，引导产业有序转移和布局优化，推进行业结构调整和转型升级，按照《国务院关于化解产能严重过剩矛盾的指导意见》（国发〔2013〕41号）和《国务院关于印发大气污染防治行动计划的通知》（国发〔2013〕37号）要求，制定本办法。</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第二条  产能严重过剩行业项目建设，须制定产能置换方案，实施等量或减量置换，在京津冀、长三角、珠三角等环境敏感区域，实施减量置换。</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第三条  本办法适用的部分产能严重过剩行业为：钢铁（炼钢、炼铁）、电解铝、水泥（熟料）、平板玻璃行业。</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本办法所称的产能严重过剩行业建设项目，包括新建、改建、扩建，以及按照国发〔2013〕41号文件要求清理的未经国家核准且有必要继续建设的在建项目（以下</w:t>
                  </w:r>
                  <w:r w:rsidRPr="00FE0796">
                    <w:rPr>
                      <w:rFonts w:ascii="宋体" w:eastAsia="宋体" w:hAnsi="宋体" w:cs="Times New Roman" w:hint="eastAsia"/>
                      <w:color w:val="000000"/>
                      <w:sz w:val="21"/>
                      <w:szCs w:val="21"/>
                    </w:rPr>
                    <w:lastRenderedPageBreak/>
                    <w:t>统称“建设项目”）。水泥粉磨站建设项目，可不制定产能等量或减量置换方案，依据本地区水泥工业结构调整方案优化布局。</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本办法所称的产能等量置换是指建设项目应淘汰与该项目产能数量相等的落后或过剩产能；减量置换是指建设项目应淘汰大于该项目产能数量的落后或过剩产能。</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本办法所称的京津冀、长三角、珠三角等环境敏感区域是指北京市、天津市、河北省、上海市、江苏省、浙江省，以及广东省的广州、深圳、珠海、佛山、江门、东莞、中山、惠州、肇庆等9市，以及其他环境敏感区域。</w:t>
                  </w:r>
                </w:p>
                <w:p w:rsidR="00FE0796" w:rsidRPr="00FE0796" w:rsidRDefault="00FE0796" w:rsidP="00FE0796">
                  <w:pPr>
                    <w:spacing w:before="100" w:beforeAutospacing="1" w:after="100" w:afterAutospacing="1" w:line="375" w:lineRule="atLeast"/>
                    <w:jc w:val="center"/>
                    <w:rPr>
                      <w:rFonts w:ascii="宋体" w:eastAsia="宋体" w:hAnsi="宋体" w:cs="Times New Roman" w:hint="eastAsia"/>
                      <w:color w:val="000000"/>
                      <w:sz w:val="21"/>
                      <w:szCs w:val="21"/>
                    </w:rPr>
                  </w:pPr>
                  <w:r w:rsidRPr="00FE0796">
                    <w:rPr>
                      <w:rFonts w:ascii="宋体" w:eastAsia="宋体" w:hAnsi="宋体" w:cs="Times New Roman" w:hint="eastAsia"/>
                      <w:b/>
                      <w:bCs/>
                      <w:color w:val="000000"/>
                      <w:sz w:val="21"/>
                      <w:szCs w:val="21"/>
                      <w:bdr w:val="none" w:sz="0" w:space="0" w:color="auto" w:frame="1"/>
                    </w:rPr>
                    <w:t>第二章  置换产能确定</w:t>
                  </w:r>
                </w:p>
                <w:p w:rsidR="00FE0796" w:rsidRPr="00FE0796" w:rsidRDefault="00FE0796" w:rsidP="00FE0796">
                  <w:pPr>
                    <w:spacing w:before="100" w:beforeAutospacing="1" w:after="100" w:afterAutospacing="1" w:line="375" w:lineRule="atLeast"/>
                    <w:rPr>
                      <w:rFonts w:ascii="宋体" w:eastAsia="宋体" w:hAnsi="宋体" w:cs="Times New Roman" w:hint="eastAsia"/>
                      <w:color w:val="000000"/>
                      <w:sz w:val="21"/>
                      <w:szCs w:val="21"/>
                    </w:rPr>
                  </w:pPr>
                  <w:r w:rsidRPr="00FE0796">
                    <w:rPr>
                      <w:rFonts w:ascii="宋体" w:eastAsia="宋体" w:hAnsi="宋体" w:cs="Times New Roman" w:hint="eastAsia"/>
                      <w:color w:val="000000"/>
                      <w:sz w:val="21"/>
                      <w:szCs w:val="21"/>
                    </w:rPr>
                    <w:t xml:space="preserve">　　第四条  新（改、扩）建项目产能置换指标，须为2013年及以后列入工业和信息化部公告或省级人民政府完成任务公告（以下统称“列入公告”）的企业淘汰产能（不含各地列入明确压减范围的钢铁产能）。已超过国家明令淘汰期限的落后产能，不得用于产能置换。</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经省级工业主管部门审批已实施JT窑技术改造，并经省级行业协会等组织鉴定的JT窑，可用于水泥熟料新（改、扩）建项目产能置换。</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未经国家核准的在建项目产能置换指标，须为2011年及以后列入公告的企业淘汰产能。</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2011年以来列入工业和信息化部公告的淘汰产能数量，依照工业和信息化部公告核定；未列入工业和信息化部公告但列入省级人民政府完成任务公告的淘汰产能数量，依照省级人民政府完成任务公告核定。</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建设项目产能数量和2015年以后拟淘汰的产能数量，依照换算表（见附1）核定。用于置换的产能指标不得重复使用。</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第五条  京津冀、长三角、珠三角等环境敏感区域需置换淘汰的产能数量按不低于建设项目产能的1.25倍予以核定，其他地区实施等量置换。</w:t>
                  </w:r>
                </w:p>
                <w:p w:rsidR="00FE0796" w:rsidRPr="00FE0796" w:rsidRDefault="00FE0796" w:rsidP="00FE0796">
                  <w:pPr>
                    <w:spacing w:before="100" w:beforeAutospacing="1" w:after="100" w:afterAutospacing="1" w:line="375" w:lineRule="atLeast"/>
                    <w:jc w:val="center"/>
                    <w:rPr>
                      <w:rFonts w:ascii="宋体" w:eastAsia="宋体" w:hAnsi="宋体" w:cs="Times New Roman" w:hint="eastAsia"/>
                      <w:color w:val="000000"/>
                      <w:sz w:val="21"/>
                      <w:szCs w:val="21"/>
                    </w:rPr>
                  </w:pPr>
                  <w:r w:rsidRPr="00FE0796">
                    <w:rPr>
                      <w:rFonts w:ascii="宋体" w:eastAsia="宋体" w:hAnsi="宋体" w:cs="Times New Roman" w:hint="eastAsia"/>
                      <w:b/>
                      <w:bCs/>
                      <w:color w:val="000000"/>
                      <w:sz w:val="21"/>
                      <w:szCs w:val="21"/>
                      <w:bdr w:val="none" w:sz="0" w:space="0" w:color="auto" w:frame="1"/>
                    </w:rPr>
                    <w:t>第三章  产能置换指标交易</w:t>
                  </w:r>
                </w:p>
                <w:p w:rsidR="00FE0796" w:rsidRPr="00FE0796" w:rsidRDefault="00FE0796" w:rsidP="00FE0796">
                  <w:pPr>
                    <w:spacing w:before="100" w:beforeAutospacing="1" w:after="100" w:afterAutospacing="1" w:line="375" w:lineRule="atLeast"/>
                    <w:rPr>
                      <w:rFonts w:ascii="宋体" w:eastAsia="宋体" w:hAnsi="宋体" w:cs="Times New Roman" w:hint="eastAsia"/>
                      <w:color w:val="000000"/>
                      <w:sz w:val="21"/>
                      <w:szCs w:val="21"/>
                    </w:rPr>
                  </w:pPr>
                  <w:r w:rsidRPr="00FE0796">
                    <w:rPr>
                      <w:rFonts w:ascii="宋体" w:eastAsia="宋体" w:hAnsi="宋体" w:cs="Times New Roman" w:hint="eastAsia"/>
                      <w:color w:val="000000"/>
                      <w:sz w:val="21"/>
                      <w:szCs w:val="21"/>
                    </w:rPr>
                    <w:lastRenderedPageBreak/>
                    <w:t xml:space="preserve">　　第六条  支持跨地区产能置换，引导国内有效产能向优势企业和更具比较优势的地区集中，推动形成分工合理、优势互补、各具特色的区域经济和产业发展格局。鼓励各地积极探索实施政府引导、企业自愿、市场化运作的产能置换指标交易。</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第七条  产能置换指标交易由各省（区、市）工业和信息化主管部门进行组织协调，制定具体交易实施办法，报省级人民政府同意后执行。</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第八条  工业和信息化部搭建全国产能置换指标供需信息平台，为产能置换提供信息服务。同时，探索建立全国产能置换指标交易平台。</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第九条  用于跨省交易的产能置换指标，需指标出让方省级工业和信息化主管部门报省级人民政府确认和公告。各省级工业和信息化主管部门将产能指标的出让和需求信息，按要求（见附2）送工业和信息化部在全国产能置换指标供需信息平台（</w:t>
                  </w:r>
                  <w:hyperlink r:id="rId9" w:history="1">
                    <w:r w:rsidRPr="00FE0796">
                      <w:rPr>
                        <w:rFonts w:ascii="宋体" w:eastAsia="宋体" w:hAnsi="宋体" w:cs="Times New Roman" w:hint="eastAsia"/>
                        <w:color w:val="000000"/>
                        <w:sz w:val="18"/>
                        <w:szCs w:val="18"/>
                        <w:bdr w:val="none" w:sz="0" w:space="0" w:color="auto" w:frame="1"/>
                      </w:rPr>
                      <w:t>http://cyzy.miit.gov.cn</w:t>
                    </w:r>
                  </w:hyperlink>
                  <w:r w:rsidRPr="00FE0796">
                    <w:rPr>
                      <w:rFonts w:ascii="宋体" w:eastAsia="宋体" w:hAnsi="宋体" w:cs="Times New Roman" w:hint="eastAsia"/>
                      <w:color w:val="000000"/>
                      <w:sz w:val="21"/>
                      <w:szCs w:val="21"/>
                    </w:rPr>
                    <w:t>）发布。</w:t>
                  </w:r>
                </w:p>
                <w:p w:rsidR="00FE0796" w:rsidRPr="00FE0796" w:rsidRDefault="00FE0796" w:rsidP="00FE0796">
                  <w:pPr>
                    <w:spacing w:before="100" w:beforeAutospacing="1" w:after="100" w:afterAutospacing="1" w:line="375" w:lineRule="atLeast"/>
                    <w:jc w:val="center"/>
                    <w:rPr>
                      <w:rFonts w:ascii="宋体" w:eastAsia="宋体" w:hAnsi="宋体" w:cs="Times New Roman" w:hint="eastAsia"/>
                      <w:color w:val="000000"/>
                      <w:sz w:val="21"/>
                      <w:szCs w:val="21"/>
                    </w:rPr>
                  </w:pPr>
                  <w:r w:rsidRPr="00FE0796">
                    <w:rPr>
                      <w:rFonts w:ascii="宋体" w:eastAsia="宋体" w:hAnsi="宋体" w:cs="Times New Roman" w:hint="eastAsia"/>
                      <w:b/>
                      <w:bCs/>
                      <w:color w:val="000000"/>
                      <w:sz w:val="21"/>
                      <w:szCs w:val="21"/>
                      <w:bdr w:val="none" w:sz="0" w:space="0" w:color="auto" w:frame="1"/>
                    </w:rPr>
                    <w:t>第四章  置换方案内容和确认</w:t>
                  </w:r>
                </w:p>
                <w:p w:rsidR="00FE0796" w:rsidRPr="00FE0796" w:rsidRDefault="00FE0796" w:rsidP="00FE0796">
                  <w:pPr>
                    <w:spacing w:before="100" w:beforeAutospacing="1" w:after="100" w:afterAutospacing="1" w:line="375" w:lineRule="atLeast"/>
                    <w:rPr>
                      <w:rFonts w:ascii="宋体" w:eastAsia="宋体" w:hAnsi="宋体" w:cs="Times New Roman" w:hint="eastAsia"/>
                      <w:color w:val="000000"/>
                      <w:sz w:val="21"/>
                      <w:szCs w:val="21"/>
                    </w:rPr>
                  </w:pPr>
                  <w:r w:rsidRPr="00FE0796">
                    <w:rPr>
                      <w:rFonts w:ascii="宋体" w:eastAsia="宋体" w:hAnsi="宋体" w:cs="Times New Roman" w:hint="eastAsia"/>
                      <w:color w:val="000000"/>
                      <w:sz w:val="21"/>
                      <w:szCs w:val="21"/>
                    </w:rPr>
                    <w:t xml:space="preserve">　　第十条  产能置换方案主要包括淘汰项目和建设项目基本情况，须明确以下内容：</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（一）淘汰项目所属的行业和地区、企业名称、组织机构代码、主体设备（生产线）、核定的产能和拆除时间，以及相关材料（工商营业执照、税务登记证、生产许可证等有效证明材料）。</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（二）建设项目所属的行业和地区、企业名称、拟建的主体设备和产能。</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（三）通过跨省（区、市）交易获得的产能置换指标，需提供指标出让方省级人民政府确认意见，以及供需双方省级工业和信息化主管部门完成交易的确认意见。</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第十一条  建设项目企业按照本办法相关条款规定，制定产能置换方案，按各省（区、市）相关要求报送省级工业和信息化主管部门。</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第十二条  各省级工业和信息化主管部门按照本办法相关条款规定，核实产能置换方案，确保淘汰项目真实、产能合理，明确置换产能淘汰期限。</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lastRenderedPageBreak/>
                    <w:t xml:space="preserve">　　第十三条  各省级工业和信息化主管部门将产能置换方案及核实意见（见附3），报省级人民政府确认后向社会公告（见附4）。</w:t>
                  </w:r>
                </w:p>
                <w:p w:rsidR="00FE0796" w:rsidRPr="00FE0796" w:rsidRDefault="00FE0796" w:rsidP="00FE0796">
                  <w:pPr>
                    <w:spacing w:before="100" w:beforeAutospacing="1" w:after="100" w:afterAutospacing="1" w:line="375" w:lineRule="atLeast"/>
                    <w:jc w:val="center"/>
                    <w:rPr>
                      <w:rFonts w:ascii="宋体" w:eastAsia="宋体" w:hAnsi="宋体" w:cs="Times New Roman" w:hint="eastAsia"/>
                      <w:color w:val="000000"/>
                      <w:sz w:val="21"/>
                      <w:szCs w:val="21"/>
                    </w:rPr>
                  </w:pPr>
                  <w:r w:rsidRPr="00FE0796">
                    <w:rPr>
                      <w:rFonts w:ascii="宋体" w:eastAsia="宋体" w:hAnsi="宋体" w:cs="Times New Roman" w:hint="eastAsia"/>
                      <w:b/>
                      <w:bCs/>
                      <w:color w:val="000000"/>
                      <w:sz w:val="21"/>
                      <w:szCs w:val="21"/>
                      <w:bdr w:val="none" w:sz="0" w:space="0" w:color="auto" w:frame="1"/>
                    </w:rPr>
                    <w:t>第五章  置换方案监督落实</w:t>
                  </w:r>
                </w:p>
                <w:p w:rsidR="00FE0796" w:rsidRPr="00FE0796" w:rsidRDefault="00FE0796" w:rsidP="00FE0796">
                  <w:pPr>
                    <w:spacing w:before="100" w:beforeAutospacing="1" w:after="100" w:afterAutospacing="1" w:line="375" w:lineRule="atLeast"/>
                    <w:rPr>
                      <w:rFonts w:ascii="宋体" w:eastAsia="宋体" w:hAnsi="宋体" w:cs="Times New Roman" w:hint="eastAsia"/>
                      <w:color w:val="000000"/>
                      <w:sz w:val="21"/>
                      <w:szCs w:val="21"/>
                    </w:rPr>
                  </w:pPr>
                  <w:r w:rsidRPr="00FE0796">
                    <w:rPr>
                      <w:rFonts w:ascii="宋体" w:eastAsia="宋体" w:hAnsi="宋体" w:cs="Times New Roman" w:hint="eastAsia"/>
                      <w:color w:val="000000"/>
                      <w:sz w:val="21"/>
                      <w:szCs w:val="21"/>
                    </w:rPr>
                    <w:t xml:space="preserve">　　第十四条  工业和信息化部组织对各省（区、市）确认的置换方案进行抽查。同时，积极发挥行业协会等社会各界监督作用。</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第十五条  各省级工业和信息化主管部门，根据省级人民政府向社会公告的产能置换方案，按照《关于印发淘汰落后产能工作考核实施方案的通知》（工信部联产业〔2011〕46号）要求，将用于置换的全部淘汰项目，列入年度淘汰落后和过剩产能任务，按要求组织淘汰，使其不能恢复生产。</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第十六条  工业和信息化部组织淘汰落后产能工作部际协调小组成员单位，对各地淘汰落后和过剩产能情况进行监督检查，并公开检查结果。</w:t>
                  </w:r>
                </w:p>
                <w:p w:rsidR="00FE0796" w:rsidRPr="00FE0796" w:rsidRDefault="00FE0796" w:rsidP="00FE0796">
                  <w:pPr>
                    <w:spacing w:before="100" w:beforeAutospacing="1" w:after="100" w:afterAutospacing="1" w:line="375" w:lineRule="atLeast"/>
                    <w:jc w:val="center"/>
                    <w:rPr>
                      <w:rFonts w:ascii="宋体" w:eastAsia="宋体" w:hAnsi="宋体" w:cs="Times New Roman" w:hint="eastAsia"/>
                      <w:color w:val="000000"/>
                      <w:sz w:val="21"/>
                      <w:szCs w:val="21"/>
                    </w:rPr>
                  </w:pPr>
                  <w:r w:rsidRPr="00FE0796">
                    <w:rPr>
                      <w:rFonts w:ascii="宋体" w:eastAsia="宋体" w:hAnsi="宋体" w:cs="Times New Roman" w:hint="eastAsia"/>
                      <w:b/>
                      <w:bCs/>
                      <w:color w:val="000000"/>
                      <w:sz w:val="21"/>
                      <w:szCs w:val="21"/>
                      <w:bdr w:val="none" w:sz="0" w:space="0" w:color="auto" w:frame="1"/>
                    </w:rPr>
                    <w:t>第六章  附则</w:t>
                  </w:r>
                </w:p>
                <w:p w:rsidR="00FE0796" w:rsidRPr="00FE0796" w:rsidRDefault="00FE0796" w:rsidP="00FE0796">
                  <w:pPr>
                    <w:spacing w:before="100" w:beforeAutospacing="1" w:after="100" w:afterAutospacing="1" w:line="375" w:lineRule="atLeast"/>
                    <w:rPr>
                      <w:rFonts w:ascii="宋体" w:eastAsia="宋体" w:hAnsi="宋体" w:cs="Times New Roman" w:hint="eastAsia"/>
                      <w:color w:val="000000"/>
                      <w:sz w:val="21"/>
                      <w:szCs w:val="21"/>
                    </w:rPr>
                  </w:pPr>
                  <w:r w:rsidRPr="00FE0796">
                    <w:rPr>
                      <w:rFonts w:ascii="宋体" w:eastAsia="宋体" w:hAnsi="宋体" w:cs="Times New Roman" w:hint="eastAsia"/>
                      <w:color w:val="000000"/>
                      <w:sz w:val="21"/>
                      <w:szCs w:val="21"/>
                    </w:rPr>
                    <w:t xml:space="preserve">　　第十七条  本办法适用于在中华人民共和国境内依法注册的各类所有制企业。</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第十八条  本办法自发布之日起施行，有效期至2017年12月31日，并根据产业发展情况适时修订。</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第十九条  工业和信息化部之前发布的产能置换相关文件要求与本办法不一致的，按本办法执行。</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第二十条  本办法由工业和信息化部负责解释。</w:t>
                  </w:r>
                  <w:r w:rsidRPr="00FE0796">
                    <w:rPr>
                      <w:rFonts w:ascii="宋体" w:eastAsia="宋体" w:hAnsi="宋体" w:cs="Times New Roman" w:hint="eastAsia"/>
                      <w:color w:val="000000"/>
                      <w:sz w:val="21"/>
                      <w:szCs w:val="21"/>
                    </w:rPr>
                    <w:br/>
                  </w:r>
                  <w:r w:rsidRPr="00FE0796">
                    <w:rPr>
                      <w:rFonts w:ascii="宋体" w:eastAsia="宋体" w:hAnsi="宋体" w:cs="Times New Roman" w:hint="eastAsia"/>
                      <w:color w:val="000000"/>
                      <w:sz w:val="21"/>
                      <w:szCs w:val="21"/>
                    </w:rPr>
                    <w:br/>
                    <w:t xml:space="preserve">　　</w:t>
                  </w:r>
                  <w:bookmarkStart w:id="0" w:name="attachment"/>
                  <w:r w:rsidRPr="00FE0796">
                    <w:rPr>
                      <w:rFonts w:ascii="宋体" w:eastAsia="宋体" w:hAnsi="宋体" w:cs="Times New Roman"/>
                      <w:color w:val="000000"/>
                      <w:sz w:val="21"/>
                      <w:szCs w:val="21"/>
                    </w:rPr>
                    <w:fldChar w:fldCharType="begin"/>
                  </w:r>
                  <w:r w:rsidRPr="00FE0796">
                    <w:rPr>
                      <w:rFonts w:ascii="宋体" w:eastAsia="宋体" w:hAnsi="宋体" w:cs="Times New Roman"/>
                      <w:color w:val="000000"/>
                      <w:sz w:val="21"/>
                      <w:szCs w:val="21"/>
                    </w:rPr>
                    <w:instrText xml:space="preserve"> HYPERLINK "http://www.miit.gov.cn/n11293472/n11293832/n12843926/n13917012/n16565701.files/n16565531.doc" \t "_blank" </w:instrText>
                  </w:r>
                  <w:r w:rsidRPr="00FE0796">
                    <w:rPr>
                      <w:rFonts w:ascii="宋体" w:eastAsia="宋体" w:hAnsi="宋体" w:cs="Times New Roman"/>
                      <w:color w:val="000000"/>
                      <w:sz w:val="21"/>
                      <w:szCs w:val="21"/>
                    </w:rPr>
                    <w:fldChar w:fldCharType="separate"/>
                  </w:r>
                  <w:r w:rsidRPr="00FE0796">
                    <w:rPr>
                      <w:rFonts w:ascii="宋体" w:eastAsia="宋体" w:hAnsi="宋体" w:cs="Times New Roman" w:hint="eastAsia"/>
                      <w:color w:val="000000"/>
                      <w:sz w:val="18"/>
                      <w:szCs w:val="18"/>
                      <w:bdr w:val="none" w:sz="0" w:space="0" w:color="auto" w:frame="1"/>
                    </w:rPr>
                    <w:t>附件1：产能换算表</w:t>
                  </w:r>
                  <w:r w:rsidRPr="00FE0796">
                    <w:rPr>
                      <w:rFonts w:ascii="宋体" w:eastAsia="宋体" w:hAnsi="宋体" w:cs="Times New Roman"/>
                      <w:color w:val="000000"/>
                      <w:sz w:val="21"/>
                      <w:szCs w:val="21"/>
                    </w:rPr>
                    <w:fldChar w:fldCharType="end"/>
                  </w:r>
                  <w:r w:rsidRPr="00FE0796">
                    <w:rPr>
                      <w:rFonts w:ascii="宋体" w:eastAsia="宋体" w:hAnsi="宋体" w:cs="Times New Roman" w:hint="eastAsia"/>
                      <w:color w:val="000000"/>
                      <w:sz w:val="21"/>
                      <w:szCs w:val="21"/>
                    </w:rPr>
                    <w:br/>
                    <w:t xml:space="preserve">　　</w:t>
                  </w:r>
                  <w:hyperlink r:id="rId10" w:tgtFrame="_blank" w:history="1">
                    <w:r w:rsidRPr="00FE0796">
                      <w:rPr>
                        <w:rFonts w:ascii="宋体" w:eastAsia="宋体" w:hAnsi="宋体" w:cs="Times New Roman" w:hint="eastAsia"/>
                        <w:color w:val="000000"/>
                        <w:sz w:val="18"/>
                        <w:szCs w:val="18"/>
                        <w:bdr w:val="none" w:sz="0" w:space="0" w:color="auto" w:frame="1"/>
                      </w:rPr>
                      <w:t>附件2：出让信息报送样式</w:t>
                    </w:r>
                  </w:hyperlink>
                  <w:r w:rsidRPr="00FE0796">
                    <w:rPr>
                      <w:rFonts w:ascii="宋体" w:eastAsia="宋体" w:hAnsi="宋体" w:cs="Times New Roman" w:hint="eastAsia"/>
                      <w:color w:val="000000"/>
                      <w:sz w:val="21"/>
                      <w:szCs w:val="21"/>
                    </w:rPr>
                    <w:br/>
                    <w:t xml:space="preserve">　　</w:t>
                  </w:r>
                  <w:hyperlink r:id="rId11" w:tgtFrame="_blank" w:history="1">
                    <w:r w:rsidRPr="00FE0796">
                      <w:rPr>
                        <w:rFonts w:ascii="宋体" w:eastAsia="宋体" w:hAnsi="宋体" w:cs="Times New Roman" w:hint="eastAsia"/>
                        <w:color w:val="000000"/>
                        <w:sz w:val="18"/>
                        <w:szCs w:val="18"/>
                        <w:bdr w:val="none" w:sz="0" w:space="0" w:color="auto" w:frame="1"/>
                      </w:rPr>
                      <w:t>附件3和附件4：产能置换方案核实确认意见表及公告</w:t>
                    </w:r>
                  </w:hyperlink>
                  <w:bookmarkEnd w:id="0"/>
                </w:p>
              </w:tc>
            </w:tr>
          </w:tbl>
          <w:p w:rsidR="00FE0796" w:rsidRPr="00FE0796" w:rsidRDefault="00FE0796" w:rsidP="00FE0796">
            <w:pPr>
              <w:spacing w:after="0" w:line="360" w:lineRule="atLeast"/>
              <w:jc w:val="center"/>
              <w:rPr>
                <w:rFonts w:ascii="宋体" w:eastAsia="宋体" w:hAnsi="宋体" w:cs="Times New Roman" w:hint="eastAsia"/>
                <w:color w:val="000000"/>
                <w:sz w:val="18"/>
                <w:szCs w:val="18"/>
              </w:rPr>
            </w:pPr>
          </w:p>
        </w:tc>
      </w:tr>
    </w:tbl>
    <w:p w:rsidR="00E72D21" w:rsidRDefault="00E72D21">
      <w:bookmarkStart w:id="1" w:name="_GoBack"/>
      <w:bookmarkEnd w:id="1"/>
    </w:p>
    <w:sectPr w:rsidR="00E72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333" w:rsidRDefault="00104333" w:rsidP="00FE0796">
      <w:pPr>
        <w:spacing w:after="0" w:line="240" w:lineRule="auto"/>
      </w:pPr>
      <w:r>
        <w:separator/>
      </w:r>
    </w:p>
  </w:endnote>
  <w:endnote w:type="continuationSeparator" w:id="0">
    <w:p w:rsidR="00104333" w:rsidRDefault="00104333" w:rsidP="00FE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333" w:rsidRDefault="00104333" w:rsidP="00FE0796">
      <w:pPr>
        <w:spacing w:after="0" w:line="240" w:lineRule="auto"/>
      </w:pPr>
      <w:r>
        <w:separator/>
      </w:r>
    </w:p>
  </w:footnote>
  <w:footnote w:type="continuationSeparator" w:id="0">
    <w:p w:rsidR="00104333" w:rsidRDefault="00104333" w:rsidP="00FE07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DF"/>
    <w:rsid w:val="00104333"/>
    <w:rsid w:val="00264BDF"/>
    <w:rsid w:val="00E72D21"/>
    <w:rsid w:val="00FE0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03F526-AB08-4F92-B3E4-DB2FD3BA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796"/>
    <w:pPr>
      <w:tabs>
        <w:tab w:val="center" w:pos="4320"/>
        <w:tab w:val="right" w:pos="8640"/>
      </w:tabs>
      <w:spacing w:after="0" w:line="240" w:lineRule="auto"/>
    </w:pPr>
  </w:style>
  <w:style w:type="character" w:customStyle="1" w:styleId="Char">
    <w:name w:val="页眉 Char"/>
    <w:basedOn w:val="a0"/>
    <w:link w:val="a3"/>
    <w:uiPriority w:val="99"/>
    <w:rsid w:val="00FE0796"/>
  </w:style>
  <w:style w:type="paragraph" w:styleId="a4">
    <w:name w:val="footer"/>
    <w:basedOn w:val="a"/>
    <w:link w:val="Char0"/>
    <w:uiPriority w:val="99"/>
    <w:unhideWhenUsed/>
    <w:rsid w:val="00FE0796"/>
    <w:pPr>
      <w:tabs>
        <w:tab w:val="center" w:pos="4320"/>
        <w:tab w:val="right" w:pos="8640"/>
      </w:tabs>
      <w:spacing w:after="0" w:line="240" w:lineRule="auto"/>
    </w:pPr>
  </w:style>
  <w:style w:type="character" w:customStyle="1" w:styleId="Char0">
    <w:name w:val="页脚 Char"/>
    <w:basedOn w:val="a0"/>
    <w:link w:val="a4"/>
    <w:uiPriority w:val="99"/>
    <w:rsid w:val="00FE0796"/>
  </w:style>
  <w:style w:type="character" w:styleId="a5">
    <w:name w:val="Hyperlink"/>
    <w:basedOn w:val="a0"/>
    <w:uiPriority w:val="99"/>
    <w:semiHidden/>
    <w:unhideWhenUsed/>
    <w:rsid w:val="00FE0796"/>
    <w:rPr>
      <w:color w:val="0000FF"/>
      <w:u w:val="single"/>
    </w:rPr>
  </w:style>
  <w:style w:type="paragraph" w:styleId="a6">
    <w:name w:val="Normal (Web)"/>
    <w:basedOn w:val="a"/>
    <w:uiPriority w:val="99"/>
    <w:semiHidden/>
    <w:unhideWhenUsed/>
    <w:rsid w:val="00FE079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E0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it.gov.cn/n11293472/n11293832/n12843926/n13917012/1656570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iit.gov.cn/n11293472/n11293832/n12843926/n13917012/1656570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it.gov.cn/n11293472/n11293832/n12843926/n13917012/16565701.html" TargetMode="External"/><Relationship Id="rId11" Type="http://schemas.openxmlformats.org/officeDocument/2006/relationships/hyperlink" Target="http://www.miit.gov.cn/n11293472/n11293832/n12843926/n13917012/n16565701.files/n16565533.doc" TargetMode="External"/><Relationship Id="rId5" Type="http://schemas.openxmlformats.org/officeDocument/2006/relationships/endnotes" Target="endnotes.xml"/><Relationship Id="rId10" Type="http://schemas.openxmlformats.org/officeDocument/2006/relationships/hyperlink" Target="http://www.miit.gov.cn/n11293472/n11293832/n12843926/n13917012/n16565701.files/n16565532.doc" TargetMode="External"/><Relationship Id="rId4" Type="http://schemas.openxmlformats.org/officeDocument/2006/relationships/footnotes" Target="footnotes.xml"/><Relationship Id="rId9" Type="http://schemas.openxmlformats.org/officeDocument/2006/relationships/hyperlink" Target="http://cyzy.mii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dc:creator>
  <cp:keywords/>
  <dc:description/>
  <cp:lastModifiedBy>WH</cp:lastModifiedBy>
  <cp:revision>2</cp:revision>
  <dcterms:created xsi:type="dcterms:W3CDTF">2015-08-20T06:00:00Z</dcterms:created>
  <dcterms:modified xsi:type="dcterms:W3CDTF">2015-08-20T06:00:00Z</dcterms:modified>
</cp:coreProperties>
</file>